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240" w:lineRule="auto"/>
        <w:rPr>
          <w:rFonts w:ascii="仿宋_GB2312" w:eastAsia="仿宋_GB2312"/>
        </w:rPr>
      </w:pPr>
      <w:r>
        <w:rPr>
          <w:rFonts w:hint="eastAsia" w:ascii="仿宋_GB2312" w:eastAsia="仿宋_GB2312"/>
        </w:rPr>
        <w:t>4.1.2 ASM.01.02固定资产项目变动流程</w:t>
      </w:r>
    </w:p>
    <w:tbl>
      <w:tblPr>
        <w:tblStyle w:val="3"/>
        <w:tblpPr w:leftFromText="180" w:rightFromText="180" w:vertAnchor="text" w:horzAnchor="page" w:tblpXSpec="center" w:tblpY="257"/>
        <w:tblOverlap w:val="never"/>
        <w:tblW w:w="1443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1"/>
        <w:gridCol w:w="506"/>
        <w:gridCol w:w="2651"/>
        <w:gridCol w:w="652"/>
        <w:gridCol w:w="1802"/>
        <w:gridCol w:w="2372"/>
        <w:gridCol w:w="1634"/>
        <w:gridCol w:w="713"/>
        <w:gridCol w:w="22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cs="宋体"/>
                <w:b/>
                <w:bCs/>
                <w:color w:val="000000"/>
                <w:szCs w:val="24"/>
              </w:rPr>
            </w:pPr>
            <w:r>
              <w:rPr>
                <w:rFonts w:hint="eastAsia" w:ascii="仿宋_GB2312" w:cs="宋体"/>
                <w:b/>
                <w:bCs/>
                <w:color w:val="000000"/>
                <w:szCs w:val="24"/>
              </w:rPr>
              <w:t>流程类别</w:t>
            </w:r>
          </w:p>
        </w:tc>
        <w:tc>
          <w:tcPr>
            <w:tcW w:w="3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cs="宋体"/>
                <w:b/>
                <w:bCs/>
                <w:color w:val="000000"/>
                <w:szCs w:val="24"/>
              </w:rPr>
            </w:pPr>
            <w:r>
              <w:rPr>
                <w:rFonts w:hint="eastAsia" w:ascii="仿宋_GB2312" w:cs="宋体"/>
                <w:b w:val="0"/>
                <w:bCs w:val="0"/>
                <w:color w:val="000000"/>
              </w:rPr>
              <w:t>资产管理-固定资产管理</w:t>
            </w: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cs="宋体"/>
                <w:b/>
                <w:bCs/>
                <w:color w:val="000000"/>
                <w:szCs w:val="24"/>
              </w:rPr>
            </w:pPr>
            <w:r>
              <w:rPr>
                <w:rFonts w:hint="eastAsia" w:ascii="仿宋_GB2312" w:cs="宋体"/>
                <w:b/>
                <w:bCs/>
                <w:color w:val="000000"/>
                <w:szCs w:val="24"/>
              </w:rPr>
              <w:t>流程编号</w:t>
            </w:r>
          </w:p>
        </w:tc>
        <w:tc>
          <w:tcPr>
            <w:tcW w:w="2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cs="宋体"/>
                <w:b/>
                <w:bCs/>
                <w:color w:val="000000"/>
                <w:szCs w:val="24"/>
              </w:rPr>
            </w:pPr>
            <w:r>
              <w:rPr>
                <w:rFonts w:hint="eastAsia" w:ascii="仿宋_GB2312" w:cs="Arial"/>
                <w:color w:val="000000"/>
              </w:rPr>
              <w:t>ASM.01.02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cs="宋体"/>
                <w:b/>
                <w:bCs/>
                <w:color w:val="000000"/>
                <w:szCs w:val="24"/>
              </w:rPr>
            </w:pPr>
            <w:r>
              <w:rPr>
                <w:rFonts w:hint="eastAsia" w:ascii="仿宋_GB2312" w:cs="宋体"/>
                <w:b/>
                <w:bCs/>
                <w:color w:val="000000"/>
                <w:szCs w:val="24"/>
              </w:rPr>
              <w:t>版 次</w:t>
            </w:r>
          </w:p>
        </w:tc>
        <w:tc>
          <w:tcPr>
            <w:tcW w:w="29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cs="Arial"/>
                <w:color w:val="000000"/>
                <w:szCs w:val="24"/>
              </w:rPr>
            </w:pPr>
            <w:r>
              <w:rPr>
                <w:rFonts w:hint="eastAsia" w:ascii="仿宋_GB2312" w:cs="Arial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2021年11月修订版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44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cs="Arial"/>
                <w:b/>
                <w:bCs/>
                <w:color w:val="000000"/>
                <w:szCs w:val="24"/>
              </w:rPr>
            </w:pPr>
            <w:r>
              <w:rPr>
                <w:rFonts w:hint="eastAsia" w:ascii="仿宋_GB2312"/>
                <w:b/>
                <w:sz w:val="28"/>
                <w:szCs w:val="28"/>
              </w:rPr>
              <w:t>固定资产项目变动流程概述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3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C00000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szCs w:val="24"/>
                <w:lang w:eastAsia="zh-CN"/>
              </w:rPr>
              <w:t>流程职责部门</w:t>
            </w:r>
          </w:p>
        </w:tc>
        <w:tc>
          <w:tcPr>
            <w:tcW w:w="265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C00000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szCs w:val="24"/>
                <w:lang w:eastAsia="zh-CN"/>
              </w:rPr>
              <w:t>流程职责科室（岗位）</w:t>
            </w:r>
          </w:p>
        </w:tc>
        <w:tc>
          <w:tcPr>
            <w:tcW w:w="245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cs="仿宋_GB2312"/>
                <w:b/>
                <w:bCs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职责部门经办人</w:t>
            </w:r>
          </w:p>
        </w:tc>
        <w:tc>
          <w:tcPr>
            <w:tcW w:w="237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职责部门分管领导</w:t>
            </w:r>
          </w:p>
        </w:tc>
        <w:tc>
          <w:tcPr>
            <w:tcW w:w="234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职责部门负责人</w:t>
            </w:r>
          </w:p>
        </w:tc>
        <w:tc>
          <w:tcPr>
            <w:tcW w:w="224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流程统筹修编部门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2367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cs="仿宋_GB2312"/>
                <w:b/>
                <w:bCs/>
                <w:color w:val="FF0000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Cs w:val="24"/>
              </w:rPr>
              <w:t>资产管理处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cs="仿宋_GB2312"/>
                <w:color w:val="000000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Cs w:val="24"/>
              </w:rPr>
              <w:t>　资产管理科</w:t>
            </w:r>
          </w:p>
        </w:tc>
        <w:tc>
          <w:tcPr>
            <w:tcW w:w="245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cs="仿宋_GB2312"/>
                <w:color w:val="000000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Cs w:val="24"/>
                <w:lang w:val="en-US" w:eastAsia="zh-CN"/>
              </w:rPr>
              <w:t>范杰珊</w:t>
            </w:r>
          </w:p>
        </w:tc>
        <w:tc>
          <w:tcPr>
            <w:tcW w:w="2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cs="仿宋_GB2312"/>
                <w:color w:val="000000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Cs w:val="24"/>
                <w:lang w:val="en-US" w:eastAsia="zh-CN"/>
              </w:rPr>
              <w:t>赵金</w:t>
            </w:r>
          </w:p>
        </w:tc>
        <w:tc>
          <w:tcPr>
            <w:tcW w:w="234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zCs w:val="24"/>
                <w:lang w:val="en-US" w:eastAsia="zh-CN"/>
              </w:rPr>
              <w:t>毛致光</w:t>
            </w:r>
          </w:p>
        </w:tc>
        <w:tc>
          <w:tcPr>
            <w:tcW w:w="2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zCs w:val="24"/>
                <w:lang w:eastAsia="zh-CN"/>
              </w:rPr>
              <w:t>内控建设办公室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433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仿宋_GB2312" w:hAnsi="仿宋_GB2312" w:cs="仿宋_GB2312"/>
                <w:b/>
                <w:bCs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szCs w:val="24"/>
              </w:rPr>
              <w:t>1.流程目标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4433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ascii="仿宋_GB2312" w:hAnsi="仿宋_GB2312" w:cs="仿宋_GB2312"/>
                <w:bCs/>
                <w:szCs w:val="24"/>
              </w:rPr>
            </w:pPr>
            <w:r>
              <w:rPr>
                <w:rFonts w:hint="eastAsia" w:ascii="仿宋_GB2312" w:hAnsi="仿宋_GB2312" w:cs="仿宋_GB2312"/>
                <w:szCs w:val="24"/>
              </w:rPr>
              <w:t>阐述校内各单位之间的固定资产调拨申请审批的相关管理流程，以提高固定资产调拨工作的规范性，确保国有资产安全。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4433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仿宋_GB2312" w:hAnsi="仿宋_GB2312" w:cs="仿宋_GB2312"/>
                <w:b/>
                <w:bCs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szCs w:val="24"/>
              </w:rPr>
              <w:t>2.相关政策和制度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4433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仿宋_GB2312" w:hAnsi="仿宋_GB2312" w:cs="仿宋_GB2312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Cs w:val="24"/>
              </w:rPr>
              <w:t>《肇庆学院国有资产管理办法》（肇学院〔2018〕70号）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4433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b/>
                <w:bCs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szCs w:val="24"/>
              </w:rPr>
              <w:t>3.</w:t>
            </w:r>
            <w:r>
              <w:rPr>
                <w:rFonts w:hint="eastAsia" w:ascii="仿宋_GB2312" w:hAnsi="仿宋_GB2312" w:cs="仿宋_GB2312"/>
                <w:b/>
                <w:bCs/>
                <w:szCs w:val="24"/>
                <w:lang w:eastAsia="zh-CN"/>
              </w:rPr>
              <w:t>输出文档（表单）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4433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仿宋_GB2312" w:hAnsi="仿宋_GB2312" w:cs="仿宋_GB2312"/>
                <w:szCs w:val="24"/>
              </w:rPr>
            </w:pPr>
            <w:r>
              <w:rPr>
                <w:rFonts w:hint="eastAsia" w:ascii="仿宋_GB2312" w:hAnsi="仿宋_GB2312" w:cs="仿宋_GB2312"/>
                <w:szCs w:val="24"/>
              </w:rPr>
              <w:t>《</w:t>
            </w:r>
            <w:r>
              <w:rPr>
                <w:rFonts w:hint="eastAsia" w:ascii="仿宋_GB2312" w:hAnsi="仿宋_GB2312" w:cs="仿宋_GB2312"/>
                <w:color w:val="000000"/>
                <w:szCs w:val="24"/>
              </w:rPr>
              <w:t>固定资产变动单</w:t>
            </w:r>
            <w:r>
              <w:rPr>
                <w:rFonts w:hint="eastAsia" w:ascii="仿宋_GB2312" w:hAnsi="仿宋_GB2312" w:cs="仿宋_GB2312"/>
                <w:szCs w:val="24"/>
              </w:rPr>
              <w:t>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4433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仿宋_GB2312" w:hAnsi="仿宋_GB2312" w:cs="仿宋_GB2312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szCs w:val="24"/>
              </w:rPr>
              <w:t>4.备注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4433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仿宋_GB2312" w:hAnsi="仿宋_GB2312" w:cs="仿宋_GB2312"/>
                <w:szCs w:val="24"/>
              </w:rPr>
            </w:pPr>
            <w:r>
              <w:rPr>
                <w:rFonts w:hint="eastAsia" w:ascii="仿宋_GB2312" w:hAnsi="仿宋_GB2312" w:cs="仿宋_GB2312"/>
                <w:szCs w:val="24"/>
              </w:rPr>
              <w:t>无。</w:t>
            </w:r>
          </w:p>
        </w:tc>
      </w:tr>
    </w:tbl>
    <w:p>
      <w:pPr>
        <w:rPr>
          <w:rFonts w:ascii="仿宋_GB2312" w:eastAsia="仿宋_GB2312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/>
        </w:rPr>
        <w:br w:type="page"/>
      </w:r>
    </w:p>
    <w:p>
      <w:pPr>
        <w:rPr>
          <w:rFonts w:ascii="仿宋_GB2312"/>
          <w:b/>
          <w:sz w:val="21"/>
          <w:szCs w:val="21"/>
        </w:rPr>
      </w:pPr>
      <w:r>
        <w:rPr>
          <w:rFonts w:hint="eastAsia" w:ascii="仿宋_GB2312"/>
          <w:b/>
          <w:sz w:val="21"/>
          <w:szCs w:val="21"/>
        </w:rPr>
        <w:t>流程图：</w:t>
      </w:r>
    </w:p>
    <w:p>
      <w:r>
        <w:rPr>
          <w:rFonts w:hint="eastAsia" w:ascii="仿宋_GB2312" w:eastAsia="仿宋_GB2312"/>
        </w:rPr>
        <w:object>
          <v:shape id="_x0000_i1025" o:spt="75" type="#_x0000_t75" style="height:666.7pt;width:414.7pt;" o:ole="t" filled="f" o:preferrelative="t" stroked="f" coordsize="21600,21600">
            <v:path/>
            <v:fill on="f" focussize="0,0"/>
            <v:stroke on="f"/>
            <v:imagedata r:id="rId7" o:title=""/>
            <o:lock v:ext="edit" aspectratio="f"/>
            <w10:wrap type="none"/>
            <w10:anchorlock/>
          </v:shape>
          <o:OLEObject Type="Embed" ProgID="Visio.Drawing.15" ShapeID="_x0000_i1025" DrawAspect="Content" ObjectID="_1468075725" r:id="rId6">
            <o:LockedField>false</o:LockedField>
          </o:OLEObject>
        </w:objec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84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9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Arial" w:hAnsi="Arial" w:eastAsia="仿宋_GB2312" w:cstheme="minorBidi"/>
      <w:kern w:val="2"/>
      <w:sz w:val="24"/>
      <w:szCs w:val="22"/>
      <w:lang w:val="en-US" w:eastAsia="zh-CN" w:bidi="ar-SA"/>
    </w:rPr>
  </w:style>
  <w:style w:type="paragraph" w:styleId="2">
    <w:name w:val="heading 5"/>
    <w:basedOn w:val="1"/>
    <w:next w:val="1"/>
    <w:unhideWhenUsed/>
    <w:qFormat/>
    <w:uiPriority w:val="9"/>
    <w:pPr>
      <w:keepNext/>
      <w:keepLines/>
      <w:widowControl/>
      <w:spacing w:before="280" w:after="290" w:line="376" w:lineRule="auto"/>
      <w:jc w:val="left"/>
      <w:outlineLvl w:val="4"/>
    </w:pPr>
    <w:rPr>
      <w:rFonts w:asciiTheme="minorHAnsi" w:hAnsiTheme="minorHAnsi" w:eastAsiaTheme="minorEastAsia"/>
      <w:b/>
      <w:bCs/>
      <w:kern w:val="0"/>
      <w:sz w:val="28"/>
      <w:szCs w:val="2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emf"/><Relationship Id="rId6" Type="http://schemas.openxmlformats.org/officeDocument/2006/relationships/oleObject" Target="embeddings/oleObject1.bin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2021-12-01T10:23:56Z</dcterms:created>
  <dc:creator>Administrator</dc:creator>
  <cp:lastModifiedBy>白瑞</cp:lastModifiedBy>
  <dcterms:modified xsi:type="dcterms:W3CDTF">2021-12-01T10:24:13Z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B1CFC2FEBAE843A594361053DB855F1B</vt:lpwstr>
  </property>
</Properties>
</file>