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/>
          <w:b/>
          <w:sz w:val="28"/>
          <w:szCs w:val="28"/>
        </w:rPr>
      </w:pPr>
      <w:r>
        <w:rPr>
          <w:rFonts w:hint="eastAsia" w:ascii="仿宋_GB2312"/>
          <w:b/>
          <w:sz w:val="28"/>
          <w:szCs w:val="28"/>
        </w:rPr>
        <w:t>4.2 ASM.02_无形资产管理</w:t>
      </w:r>
    </w:p>
    <w:p>
      <w:pPr>
        <w:spacing w:line="400" w:lineRule="exact"/>
        <w:rPr>
          <w:rFonts w:ascii="仿宋_GB2312"/>
          <w:b/>
          <w:sz w:val="28"/>
          <w:szCs w:val="28"/>
        </w:rPr>
      </w:pPr>
      <w:r>
        <w:rPr>
          <w:rFonts w:hint="eastAsia" w:ascii="仿宋_GB2312"/>
          <w:b/>
          <w:sz w:val="28"/>
          <w:szCs w:val="28"/>
        </w:rPr>
        <w:t>4.2.1 ASM.02.01无形资产入账流程</w:t>
      </w:r>
    </w:p>
    <w:tbl>
      <w:tblPr>
        <w:tblStyle w:val="2"/>
        <w:tblpPr w:leftFromText="180" w:rightFromText="180" w:vertAnchor="text" w:horzAnchor="page" w:tblpXSpec="center" w:tblpY="257"/>
        <w:tblOverlap w:val="never"/>
        <w:tblW w:w="143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510"/>
        <w:gridCol w:w="2674"/>
        <w:gridCol w:w="657"/>
        <w:gridCol w:w="1817"/>
        <w:gridCol w:w="2154"/>
        <w:gridCol w:w="1648"/>
        <w:gridCol w:w="720"/>
        <w:gridCol w:w="22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流程类别</w:t>
            </w:r>
          </w:p>
        </w:tc>
        <w:tc>
          <w:tcPr>
            <w:tcW w:w="3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 w:val="0"/>
                <w:bCs w:val="0"/>
                <w:color w:val="000000"/>
              </w:rPr>
              <w:t>资产管理-无形资产管理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流程编号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/>
              </w:rPr>
              <w:t>ASM.02.01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版 次</w:t>
            </w:r>
          </w:p>
        </w:tc>
        <w:tc>
          <w:tcPr>
            <w:tcW w:w="2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Arial"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2021年11月修订版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4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cs="Arial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无形资产入账流程概述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3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  <w:lang w:eastAsia="zh-CN"/>
              </w:rPr>
              <w:t>流程职责部门</w:t>
            </w:r>
          </w:p>
        </w:tc>
        <w:tc>
          <w:tcPr>
            <w:tcW w:w="267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  <w:lang w:eastAsia="zh-CN"/>
              </w:rPr>
              <w:t>流程职责科室（岗位）</w:t>
            </w:r>
          </w:p>
        </w:tc>
        <w:tc>
          <w:tcPr>
            <w:tcW w:w="247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职责部门经办人</w:t>
            </w:r>
          </w:p>
        </w:tc>
        <w:tc>
          <w:tcPr>
            <w:tcW w:w="215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职责部门分管领导</w:t>
            </w:r>
          </w:p>
        </w:tc>
        <w:tc>
          <w:tcPr>
            <w:tcW w:w="236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职责部门负责人</w:t>
            </w:r>
          </w:p>
        </w:tc>
        <w:tc>
          <w:tcPr>
            <w:tcW w:w="22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流程统筹修编部门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38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FF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资产管理处</w:t>
            </w:r>
          </w:p>
        </w:tc>
        <w:tc>
          <w:tcPr>
            <w:tcW w:w="2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　资产管理科</w:t>
            </w:r>
          </w:p>
        </w:tc>
        <w:tc>
          <w:tcPr>
            <w:tcW w:w="24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范杰珊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赵金</w:t>
            </w:r>
          </w:p>
        </w:tc>
        <w:tc>
          <w:tcPr>
            <w:tcW w:w="23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毛致光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eastAsia="zh-CN"/>
              </w:rPr>
              <w:t>内控建设办公室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31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1.流程目标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4316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="仿宋_GB2312" w:hAnsi="仿宋_GB2312" w:cs="仿宋_GB2312"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阐述无形资产入账工作流程，旨在确保无形资产准确建档，减少无形资产流失风险。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4316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2.相关政策和制度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4316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Cs w:val="24"/>
              </w:rPr>
              <w:t>《肇庆学院无形资产管理办法》肇学院（2015）78 号（试行）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4316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3.</w:t>
            </w:r>
            <w:r>
              <w:rPr>
                <w:rFonts w:hint="eastAsia" w:ascii="仿宋_GB2312" w:hAnsi="仿宋_GB2312" w:cs="仿宋_GB2312"/>
                <w:b/>
                <w:bCs/>
                <w:szCs w:val="24"/>
                <w:lang w:eastAsia="zh-CN"/>
              </w:rPr>
              <w:t>输出文档（表单）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4316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肇庆学院无行资产入库信息表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系统审批记录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无形资产报增信息表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会计凭证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对账单</w:t>
            </w:r>
            <w:r>
              <w:rPr>
                <w:rFonts w:hint="eastAsia" w:ascii="仿宋_GB2312" w:hAnsi="仿宋_GB2312" w:cs="仿宋_GB2312"/>
                <w:szCs w:val="24"/>
              </w:rPr>
              <w:t>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4316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4.备注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316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学校无形资产是指学校所拥有的、不具有实物形态而能为我校创造价值的资产，包括学校名称、校徽、专利权、商标权、专有技术权、著作权、土地使用权、特许经营权、商誉（校誉）以及其它无形资产使用权等。</w:t>
            </w:r>
          </w:p>
        </w:tc>
      </w:tr>
    </w:tbl>
    <w:p>
      <w:pPr>
        <w:rPr>
          <w:rFonts w:ascii="仿宋_GB2312"/>
        </w:rPr>
      </w:pPr>
      <w:r>
        <w:rPr>
          <w:rFonts w:hint="eastAsia" w:ascii="仿宋_GB2312"/>
        </w:rPr>
        <w:br w:type="page"/>
      </w:r>
    </w:p>
    <w:p>
      <w:pPr>
        <w:rPr>
          <w:rFonts w:ascii="仿宋_GB2312"/>
          <w:b/>
          <w:sz w:val="21"/>
          <w:szCs w:val="21"/>
        </w:rPr>
      </w:pPr>
      <w:r>
        <w:rPr>
          <w:rFonts w:hint="eastAsia" w:ascii="仿宋_GB2312"/>
          <w:b/>
          <w:sz w:val="21"/>
          <w:szCs w:val="21"/>
        </w:rPr>
        <w:t>流程图：</w:t>
      </w:r>
    </w:p>
    <w:p>
      <w:r>
        <w:rPr>
          <w:rFonts w:hint="eastAsia" w:ascii="仿宋_GB2312"/>
        </w:rPr>
        <w:object>
          <v:shape id="_x0000_i1025" o:spt="75" type="#_x0000_t75" style="height:385.9pt;width:692.65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Visio.Drawing.15" ShapeID="_x0000_i1025" DrawAspect="Content" ObjectID="_1468075725" r:id="rId6">
            <o:LockedField>false</o:LockedField>
          </o:OLEObject>
        </w:objec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C2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Arial" w:hAnsi="Arial" w:eastAsia="仿宋_GB2312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2021-12-01T10:29:41Z</dcterms:created>
  <dc:creator>Administrator</dc:creator>
  <cp:lastModifiedBy>白瑞</cp:lastModifiedBy>
  <dcterms:modified xsi:type="dcterms:W3CDTF">2021-12-01T10:29:57Z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19A3EE25A7944B53A3A49AFFE4772A46</vt:lpwstr>
  </property>
</Properties>
</file>